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tbl>
      <w:tblPr>
        <w:tblW w:w="9214" w:type="dxa"/>
        <w:jc w:val="left"/>
        <w:tblInd w:w="-1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5" w:type="dxa"/>
            </w:tcMar>
            <w:vAlign w:val="center"/>
          </w:tcPr>
          <w:p>
            <w:pPr>
              <w:pStyle w:val="Normal"/>
              <w:tabs>
                <w:tab w:val="left" w:pos="851" w:leader="none"/>
              </w:tabs>
              <w:spacing w:lineRule="auto" w:line="276" w:before="0" w:after="120"/>
              <w:jc w:val="center"/>
              <w:rPr/>
            </w:pPr>
            <w:bookmarkStart w:id="0" w:name="__DdeLink__496_1019084144"/>
            <w:r>
              <w:rPr>
                <w:rFonts w:cs="Calibri" w:ascii="Arial" w:hAnsi="Arial"/>
                <w:b/>
                <w:color w:val="000000"/>
                <w:sz w:val="24"/>
                <w:szCs w:val="24"/>
              </w:rPr>
              <w:t xml:space="preserve">REFORMA </w:t>
            </w:r>
            <w:bookmarkEnd w:id="0"/>
            <w:r>
              <w:rPr>
                <w:rFonts w:cs="Calibri" w:ascii="Arial" w:hAnsi="Arial"/>
                <w:b/>
                <w:color w:val="000000"/>
                <w:sz w:val="24"/>
                <w:szCs w:val="24"/>
              </w:rPr>
              <w:t>DO CEI ANTONIETA MOREIRA DOS SANTOS</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Calibri" w:ascii="Arial" w:hAnsi="Arial"/>
          <w:b/>
          <w:bCs/>
          <w:color w:val="000000"/>
          <w:sz w:val="22"/>
          <w:szCs w:val="22"/>
        </w:rPr>
        <w:t>REFORMA DO  CEI ANTONIETA MOREIRA DOS SANTOS</w:t>
      </w:r>
      <w:r>
        <w:rPr>
          <w:rFonts w:cs="Calibri" w:ascii="Arial" w:hAnsi="Arial"/>
          <w:b/>
          <w:color w:val="000000"/>
          <w:sz w:val="22"/>
          <w:szCs w:val="22"/>
        </w:rPr>
        <w:t xml:space="preserve"> </w:t>
      </w:r>
      <w:r>
        <w:rPr>
          <w:rFonts w:cs="Arial" w:ascii="Arial" w:hAnsi="Arial"/>
          <w:b w:val="false"/>
          <w:bCs w:val="false"/>
          <w:color w:val="000000"/>
          <w:sz w:val="22"/>
          <w:szCs w:val="22"/>
        </w:rPr>
        <w:t>l</w:t>
      </w:r>
      <w:r>
        <w:rPr>
          <w:rFonts w:cs="Arial" w:ascii="Arial" w:hAnsi="Arial"/>
          <w:sz w:val="22"/>
          <w:szCs w:val="22"/>
        </w:rPr>
        <w:t>ocalizado na R. Rua Manoel Gaya, Nº 67, Barra do Rio, 88305-640 - Itajaí/SC</w:t>
      </w:r>
      <w:r>
        <w:rPr>
          <w:rFonts w:cs="Arial" w:ascii="Arial" w:hAnsi="Arial"/>
          <w:iCs/>
          <w:spacing w:val="2"/>
          <w:sz w:val="22"/>
          <w:szCs w:val="22"/>
        </w:rPr>
        <w:t>.</w:t>
      </w:r>
    </w:p>
    <w:tbl>
      <w:tblPr>
        <w:tblW w:w="6409" w:type="dxa"/>
        <w:jc w:val="left"/>
        <w:tblInd w:w="896" w:type="dxa"/>
        <w:tblBorders/>
        <w:tblCellMar>
          <w:top w:w="0" w:type="dxa"/>
          <w:left w:w="0" w:type="dxa"/>
          <w:bottom w:w="0" w:type="dxa"/>
          <w:right w:w="108" w:type="dxa"/>
        </w:tblCellMar>
        <w:tblLook w:firstRow="1" w:noVBand="1" w:lastRow="0" w:firstColumn="1" w:lastColumn="0" w:noHBand="0" w:val="04a0"/>
      </w:tblPr>
      <w:tblGrid>
        <w:gridCol w:w="4310"/>
        <w:gridCol w:w="2098"/>
      </w:tblGrid>
      <w:tr>
        <w:trPr>
          <w:trHeight w:val="399" w:hRule="atLeast"/>
        </w:trPr>
        <w:tc>
          <w:tcPr>
            <w:tcW w:w="6408" w:type="dxa"/>
            <w:gridSpan w:val="2"/>
            <w:tcBorders/>
            <w:shd w:color="000000" w:fill="FFFFFF" w:val="pct20"/>
            <w:vAlign w:val="center"/>
          </w:tcPr>
          <w:p>
            <w:pPr>
              <w:pStyle w:val="Normal"/>
              <w:tabs>
                <w:tab w:val="left" w:pos="851" w:leader="none"/>
              </w:tabs>
              <w:bidi w:val="0"/>
              <w:spacing w:lineRule="auto" w:line="276" w:before="113" w:after="113"/>
              <w:jc w:val="center"/>
              <w:rPr>
                <w:sz w:val="20"/>
                <w:szCs w:val="20"/>
              </w:rPr>
            </w:pPr>
            <w:r>
              <w:rPr>
                <w:rFonts w:cs="Arial" w:ascii="Arial" w:hAnsi="Arial"/>
                <w:b/>
                <w:bCs/>
                <w:sz w:val="20"/>
                <w:szCs w:val="20"/>
              </w:rPr>
              <w:t>QUADRO DE ÁREAS</w:t>
            </w:r>
          </w:p>
        </w:tc>
      </w:tr>
      <w:tr>
        <w:trPr/>
        <w:tc>
          <w:tcPr>
            <w:tcW w:w="4310" w:type="dxa"/>
            <w:tcBorders/>
            <w:shd w:fill="EEEEEE" w:val="clear"/>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N° de Pavimentos</w:t>
            </w:r>
          </w:p>
        </w:tc>
        <w:tc>
          <w:tcPr>
            <w:tcW w:w="2098" w:type="dxa"/>
            <w:tcBorders/>
            <w:shd w:fill="EEEEEE" w:val="clear"/>
            <w:vAlign w:val="center"/>
          </w:tcPr>
          <w:p>
            <w:pPr>
              <w:pStyle w:val="Normal"/>
              <w:tabs>
                <w:tab w:val="left" w:pos="851" w:leader="none"/>
              </w:tabs>
              <w:bidi w:val="0"/>
              <w:spacing w:lineRule="auto" w:line="276" w:before="113" w:after="113"/>
              <w:jc w:val="center"/>
              <w:rPr>
                <w:sz w:val="20"/>
                <w:szCs w:val="20"/>
              </w:rPr>
            </w:pPr>
            <w:r>
              <w:rPr>
                <w:rFonts w:cs="Arial" w:ascii="Arial" w:hAnsi="Arial"/>
                <w:sz w:val="20"/>
                <w:szCs w:val="20"/>
              </w:rPr>
              <w:t>1 pavimento</w:t>
            </w:r>
          </w:p>
        </w:tc>
      </w:tr>
      <w:tr>
        <w:trPr/>
        <w:tc>
          <w:tcPr>
            <w:tcW w:w="4310" w:type="dxa"/>
            <w:tcBorders/>
            <w:shd w:color="000000" w:fill="FFFFFF" w:val="pct20"/>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Área a reformar</w:t>
            </w:r>
          </w:p>
        </w:tc>
        <w:tc>
          <w:tcPr>
            <w:tcW w:w="2098" w:type="dxa"/>
            <w:tcBorders/>
            <w:shd w:color="000000" w:fill="FFFFFF" w:val="pct20"/>
            <w:vAlign w:val="center"/>
          </w:tcPr>
          <w:p>
            <w:pPr>
              <w:pStyle w:val="Normal"/>
              <w:tabs>
                <w:tab w:val="left" w:pos="851" w:leader="none"/>
              </w:tabs>
              <w:bidi w:val="0"/>
              <w:spacing w:lineRule="auto" w:line="276" w:before="113" w:after="113"/>
              <w:jc w:val="center"/>
              <w:rPr/>
            </w:pPr>
            <w:r>
              <w:rPr>
                <w:rFonts w:cs="Arial" w:ascii="Arial" w:hAnsi="Arial"/>
                <w:sz w:val="20"/>
                <w:szCs w:val="20"/>
              </w:rPr>
              <w:t>534,64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O edifício onde está instalado o CEI Antonieta Moreira dos Santos necessita de reforma devido ao desgaste do tempo. </w:t>
      </w:r>
    </w:p>
    <w:p>
      <w:pPr>
        <w:pStyle w:val="Normal"/>
        <w:tabs>
          <w:tab w:val="left" w:pos="851" w:leader="none"/>
        </w:tabs>
        <w:spacing w:lineRule="auto" w:line="276" w:before="0" w:after="120"/>
        <w:ind w:firstLine="708"/>
        <w:jc w:val="both"/>
        <w:rPr/>
      </w:pPr>
      <w:r>
        <w:rPr>
          <w:rFonts w:cs="Arial" w:ascii="Arial" w:hAnsi="Arial"/>
          <w:sz w:val="22"/>
          <w:szCs w:val="22"/>
        </w:rPr>
        <w:t xml:space="preserve">Será necessário a substituição de todo o telhamento em telha cerâmica, substituindo por telhas de fibrocimento, com revisão da estrutura de madeira. Serão removidos os dois toldos, sendo o central ampliado acompanhando o do refeitório, e o da entrada substituído por estrutura e telha metálica. Também serrão instalados e ampliados as calhas e tubos de quedas pluviais. </w:t>
      </w:r>
      <w:r>
        <w:rPr>
          <w:rFonts w:cs="Arial" w:ascii="Arial" w:hAnsi="Arial"/>
          <w:sz w:val="22"/>
          <w:szCs w:val="22"/>
        </w:rPr>
        <w:t xml:space="preserve">O pátio central além da troca do telhamento receberá revestimento em forro de PVC. </w:t>
      </w:r>
    </w:p>
    <w:p>
      <w:pPr>
        <w:pStyle w:val="Normal"/>
        <w:tabs>
          <w:tab w:val="left" w:pos="851" w:leader="none"/>
        </w:tabs>
        <w:spacing w:lineRule="auto" w:line="276" w:before="0" w:after="120"/>
        <w:ind w:firstLine="708"/>
        <w:jc w:val="both"/>
        <w:rPr/>
      </w:pPr>
      <w:r>
        <w:rPr>
          <w:rFonts w:cs="Arial" w:ascii="Arial" w:hAnsi="Arial"/>
          <w:sz w:val="22"/>
          <w:szCs w:val="22"/>
        </w:rPr>
        <w:t xml:space="preserve">Nas áreas internas serão trocados todos os pisos, com colocação de piso vinílico nas salas de aula e cerâmico nas demais dependências e calçadas externas. </w:t>
      </w:r>
    </w:p>
    <w:p>
      <w:pPr>
        <w:pStyle w:val="Normal"/>
        <w:tabs>
          <w:tab w:val="left" w:pos="851" w:leader="none"/>
        </w:tabs>
        <w:spacing w:lineRule="auto" w:line="276" w:before="0" w:after="120"/>
        <w:ind w:firstLine="708"/>
        <w:jc w:val="both"/>
        <w:rPr/>
      </w:pPr>
      <w:r>
        <w:rPr>
          <w:rFonts w:cs="Arial" w:ascii="Arial" w:hAnsi="Arial"/>
          <w:sz w:val="22"/>
          <w:szCs w:val="22"/>
        </w:rPr>
        <w:t>As paredes receberão pastilhamento nas circulações e refeitório, e nas salas de aula  novos revestimentos cerâmicos até 1,20. Serão substituídos os azulejos de cozinha e sanitários. As demais áreas de paredes tanto internas quanto externas além dos tetos receberão nova pintura. Será feito um fechamento na área da lavanderia.</w:t>
      </w:r>
    </w:p>
    <w:p>
      <w:pPr>
        <w:pStyle w:val="Normal"/>
        <w:tabs>
          <w:tab w:val="left" w:pos="851" w:leader="none"/>
        </w:tabs>
        <w:spacing w:lineRule="auto" w:line="276" w:before="0" w:after="120"/>
        <w:ind w:firstLine="708"/>
        <w:jc w:val="both"/>
        <w:rPr/>
      </w:pPr>
      <w:r>
        <w:rPr>
          <w:rFonts w:cs="Arial" w:ascii="Arial" w:hAnsi="Arial"/>
          <w:sz w:val="22"/>
          <w:szCs w:val="22"/>
        </w:rPr>
        <w:t xml:space="preserve">A área externa será revitalizada, com nova drenagem </w:t>
      </w:r>
      <w:r>
        <w:rPr>
          <w:rFonts w:cs="Arial" w:ascii="Arial" w:hAnsi="Arial"/>
          <w:sz w:val="22"/>
          <w:szCs w:val="22"/>
        </w:rPr>
        <w:t>e areia para o</w:t>
      </w:r>
      <w:r>
        <w:rPr>
          <w:rFonts w:cs="Arial" w:ascii="Arial" w:hAnsi="Arial"/>
          <w:sz w:val="22"/>
          <w:szCs w:val="22"/>
        </w:rPr>
        <w:t xml:space="preserve"> parque, </w:t>
      </w:r>
      <w:r>
        <w:rPr>
          <w:rFonts w:cs="Arial" w:ascii="Arial" w:hAnsi="Arial"/>
          <w:sz w:val="22"/>
          <w:szCs w:val="22"/>
        </w:rPr>
        <w:t>com dois espaços com piso modular em polipropileno, sendo um para parque menor e outro  para prática de outras atividades recreativas. Os equipamentos de parque infantil serão substituídos por novos, com estrutura de madeira plastica.</w:t>
      </w:r>
    </w:p>
    <w:p>
      <w:pPr>
        <w:pStyle w:val="Normal"/>
        <w:tabs>
          <w:tab w:val="left" w:pos="851" w:leader="none"/>
        </w:tabs>
        <w:spacing w:lineRule="auto" w:line="276" w:before="0" w:after="120"/>
        <w:ind w:firstLine="708"/>
        <w:jc w:val="both"/>
        <w:rPr/>
      </w:pPr>
      <w:r>
        <w:rPr>
          <w:rFonts w:cs="Arial" w:ascii="Arial" w:hAnsi="Arial"/>
          <w:sz w:val="22"/>
          <w:szCs w:val="22"/>
        </w:rPr>
        <w:t>S</w:t>
      </w:r>
      <w:r>
        <w:rPr>
          <w:rFonts w:cs="Arial" w:ascii="Arial" w:hAnsi="Arial"/>
          <w:sz w:val="22"/>
          <w:szCs w:val="22"/>
        </w:rPr>
        <w:t>erá realizado também revisões de elétrica e hidráulica, assim como das esquadrias metálicas existentes, alem das trocas das portas de madeira.</w:t>
      </w:r>
    </w:p>
    <w:p>
      <w:pPr>
        <w:pStyle w:val="Normal"/>
        <w:tabs>
          <w:tab w:val="left" w:pos="851" w:leader="none"/>
        </w:tabs>
        <w:spacing w:lineRule="auto" w:line="276" w:before="0" w:after="120"/>
        <w:ind w:right="-89" w:firstLine="708"/>
        <w:jc w:val="both"/>
        <w:rPr/>
      </w:pPr>
      <w:r>
        <w:rPr>
          <w:rFonts w:cs="Arial" w:ascii="Arial" w:hAnsi="Arial"/>
          <w:color w:val="00000A"/>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spacing w:before="114" w:after="114"/>
        <w:ind w:left="0" w:right="-89" w:hanging="0"/>
        <w:jc w:val="both"/>
        <w:rPr>
          <w:rFonts w:ascii="Arial" w:hAnsi="Arial" w:cs="Arial"/>
          <w:color w:val="00000A"/>
          <w:sz w:val="22"/>
          <w:szCs w:val="22"/>
        </w:rPr>
      </w:pPr>
      <w:r>
        <w:rPr>
          <w:rFonts w:cs="Arial" w:ascii="Arial" w:hAnsi="Arial"/>
          <w:color w:val="00000A"/>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1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bookmarkStart w:id="1" w:name="__DdeLink__496_10190841441"/>
            <w:r>
              <w:rPr>
                <w:rFonts w:cs="Calibri" w:ascii="Arial" w:hAnsi="Arial"/>
                <w:b/>
                <w:color w:val="000000"/>
                <w:sz w:val="24"/>
                <w:szCs w:val="24"/>
              </w:rPr>
              <w:t xml:space="preserve">REFORMA </w:t>
            </w:r>
            <w:bookmarkEnd w:id="1"/>
            <w:r>
              <w:rPr>
                <w:rFonts w:cs="Calibri" w:ascii="Arial" w:hAnsi="Arial"/>
                <w:b/>
                <w:color w:val="000000"/>
                <w:sz w:val="24"/>
                <w:szCs w:val="24"/>
              </w:rPr>
              <w:t>DO CEI ANTONIETA MOREIRA SANTOS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2" w:name="_Toc176847474"/>
      <w:bookmarkStart w:id="3" w:name="_Toc176842601"/>
      <w:bookmarkStart w:id="4" w:name="_Toc176842531"/>
      <w:bookmarkStart w:id="5" w:name="_Toc176842489"/>
      <w:bookmarkEnd w:id="2"/>
      <w:bookmarkEnd w:id="3"/>
      <w:bookmarkEnd w:id="4"/>
      <w:bookmarkEnd w:id="5"/>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Planilha Orçamentária;</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Cronograma Físico-Financeiro;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Memorial Descritivo;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Projeto e Desenhos Técnicos;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Diário de Obras.</w:t>
      </w:r>
    </w:p>
    <w:p>
      <w:pPr>
        <w:pStyle w:val="Normal"/>
        <w:tabs>
          <w:tab w:val="left" w:pos="851" w:leader="none"/>
        </w:tabs>
        <w:spacing w:lineRule="auto" w:line="276"/>
        <w:jc w:val="both"/>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DOTAÇÃO ORÇAMENTÁRIA.</w:t>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502" w:hanging="0"/>
        <w:jc w:val="both"/>
        <w:rPr>
          <w:rFonts w:ascii="Arial" w:hAnsi="Arial" w:cs="Arial"/>
          <w:bCs/>
          <w:sz w:val="22"/>
          <w:szCs w:val="22"/>
        </w:rPr>
      </w:pPr>
      <w:r>
        <w:rPr>
          <w:rFonts w:cs="Arial" w:ascii="Arial" w:hAnsi="Arial"/>
          <w:bCs/>
          <w:sz w:val="22"/>
          <w:szCs w:val="22"/>
        </w:rPr>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0" w:right="0" w:hanging="0"/>
        <w:jc w:val="both"/>
        <w:rPr/>
      </w:pPr>
      <w:r>
        <w:rPr>
          <w:rFonts w:cs="Arial" w:ascii="Arial" w:hAnsi="Arial"/>
          <w:bCs/>
          <w:color w:val="auto"/>
          <w:sz w:val="22"/>
          <w:szCs w:val="22"/>
        </w:rPr>
        <w:t xml:space="preserve">5.1. Os recursos orçamentários necessários à execução do presente objeto, será de </w:t>
      </w:r>
      <w:r>
        <w:rPr>
          <w:rFonts w:cs="Arial" w:ascii="Arial" w:hAnsi="Arial"/>
          <w:b/>
          <w:bCs/>
          <w:color w:val="auto"/>
          <w:sz w:val="22"/>
          <w:szCs w:val="22"/>
        </w:rPr>
        <w:t xml:space="preserve">R$ </w:t>
      </w:r>
      <w:bookmarkStart w:id="6" w:name="__DdeLink__535_693730003"/>
      <w:bookmarkStart w:id="7" w:name="__DdeLink__516_120058297"/>
      <w:r>
        <w:rPr>
          <w:rFonts w:cs="Arial" w:ascii="Arial" w:hAnsi="Arial"/>
          <w:b/>
          <w:bCs/>
          <w:color w:val="auto"/>
          <w:sz w:val="22"/>
          <w:szCs w:val="22"/>
        </w:rPr>
        <w:t>4</w:t>
      </w:r>
      <w:bookmarkEnd w:id="7"/>
      <w:r>
        <w:rPr>
          <w:rFonts w:cs="Arial" w:ascii="Arial" w:hAnsi="Arial"/>
          <w:b/>
          <w:bCs/>
          <w:color w:val="auto"/>
          <w:sz w:val="22"/>
          <w:szCs w:val="22"/>
        </w:rPr>
        <w:t>0</w:t>
      </w:r>
      <w:r>
        <w:rPr>
          <w:rFonts w:cs="Arial" w:ascii="Arial" w:hAnsi="Arial"/>
          <w:b/>
          <w:bCs/>
          <w:color w:val="auto"/>
          <w:sz w:val="22"/>
          <w:szCs w:val="22"/>
        </w:rPr>
        <w:t>5</w:t>
      </w:r>
      <w:r>
        <w:rPr>
          <w:rFonts w:cs="Arial" w:ascii="Arial" w:hAnsi="Arial"/>
          <w:b/>
          <w:bCs/>
          <w:color w:val="auto"/>
          <w:sz w:val="22"/>
          <w:szCs w:val="22"/>
        </w:rPr>
        <w:t>.</w:t>
      </w:r>
      <w:r>
        <w:rPr>
          <w:rFonts w:cs="Arial" w:ascii="Arial" w:hAnsi="Arial"/>
          <w:b/>
          <w:bCs/>
          <w:color w:val="auto"/>
          <w:sz w:val="22"/>
          <w:szCs w:val="22"/>
        </w:rPr>
        <w:t>616</w:t>
      </w:r>
      <w:r>
        <w:rPr>
          <w:rFonts w:cs="Arial" w:ascii="Arial" w:hAnsi="Arial"/>
          <w:b/>
          <w:bCs/>
          <w:color w:val="auto"/>
          <w:sz w:val="22"/>
          <w:szCs w:val="22"/>
        </w:rPr>
        <w:t>,</w:t>
      </w:r>
      <w:r>
        <w:rPr>
          <w:rFonts w:cs="Arial" w:ascii="Arial" w:hAnsi="Arial"/>
          <w:b/>
          <w:bCs/>
          <w:color w:val="auto"/>
          <w:sz w:val="22"/>
          <w:szCs w:val="22"/>
        </w:rPr>
        <w:t>65</w:t>
      </w:r>
      <w:bookmarkEnd w:id="6"/>
      <w:r>
        <w:rPr>
          <w:rFonts w:cs="Arial" w:ascii="Arial" w:hAnsi="Arial"/>
          <w:b/>
          <w:bCs/>
          <w:color w:val="auto"/>
          <w:sz w:val="22"/>
          <w:szCs w:val="22"/>
        </w:rPr>
        <w:t xml:space="preserve"> </w:t>
      </w:r>
      <w:r>
        <w:rPr>
          <w:rFonts w:cs="Arial" w:ascii="Arial" w:hAnsi="Arial"/>
          <w:bCs/>
          <w:color w:val="auto"/>
          <w:sz w:val="22"/>
          <w:szCs w:val="22"/>
        </w:rPr>
        <w:t>(</w:t>
      </w:r>
      <w:r>
        <w:rPr>
          <w:rFonts w:cs="Arial" w:ascii="Helvetica Neue;Helvetica;Arial;sans-serif" w:hAnsi="Helvetica Neue;Helvetica;Arial;sans-serif"/>
          <w:b w:val="false"/>
          <w:bCs/>
          <w:i w:val="false"/>
          <w:caps w:val="false"/>
          <w:smallCaps w:val="false"/>
          <w:color w:val="auto"/>
          <w:spacing w:val="0"/>
          <w:sz w:val="22"/>
          <w:szCs w:val="22"/>
        </w:rPr>
        <w:t>Quatrocentos e cinco mil, seiscentos e dezesseis reais e sessenta e cinco centavos</w:t>
      </w:r>
      <w:r>
        <w:rPr>
          <w:rFonts w:cs="Arial" w:ascii="Arial" w:hAnsi="Arial"/>
          <w:b w:val="false"/>
          <w:bCs/>
          <w:i w:val="false"/>
          <w:caps w:val="false"/>
          <w:smallCaps w:val="false"/>
          <w:color w:val="auto"/>
          <w:spacing w:val="0"/>
          <w:sz w:val="22"/>
          <w:szCs w:val="22"/>
        </w:rPr>
        <w:t xml:space="preserve"> </w:t>
      </w:r>
      <w:r>
        <w:rPr>
          <w:rFonts w:cs="Arial" w:ascii="Arial" w:hAnsi="Arial"/>
          <w:bCs/>
          <w:color w:val="auto"/>
          <w:sz w:val="22"/>
          <w:szCs w:val="22"/>
        </w:rPr>
        <w:t>), os</w:t>
      </w:r>
      <w:r>
        <w:rPr>
          <w:rFonts w:cs="Arial" w:ascii="Arial" w:hAnsi="Arial"/>
          <w:bCs/>
          <w:color w:val="00000A"/>
          <w:sz w:val="22"/>
          <w:szCs w:val="22"/>
        </w:rPr>
        <w:t xml:space="preserve"> quais correrão por conta do exercício orçamentário do ano de 2019 a ser determinada </w:t>
      </w:r>
      <w:r>
        <w:rPr>
          <w:rFonts w:cs="Arial" w:ascii="Arial" w:hAnsi="Arial"/>
          <w:bCs/>
          <w:sz w:val="22"/>
          <w:szCs w:val="22"/>
        </w:rPr>
        <w:t xml:space="preserve">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para 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rFonts w:ascii="Arial" w:hAnsi="Arial"/>
          <w:sz w:val="22"/>
          <w:szCs w:val="22"/>
        </w:rPr>
      </w:pPr>
      <w:r>
        <w:rPr>
          <w:rFonts w:cs="Arial" w:ascii="Arial" w:hAnsi="Arial"/>
          <w:sz w:val="22"/>
          <w:szCs w:val="22"/>
        </w:rPr>
        <w:t xml:space="preserve">Comprovação </w:t>
      </w:r>
      <w:r>
        <w:rPr>
          <w:rFonts w:cs="Arial" w:ascii="Arial" w:hAnsi="Arial"/>
          <w:b/>
          <w:sz w:val="22"/>
          <w:szCs w:val="22"/>
          <w:u w:val="single"/>
        </w:rPr>
        <w:t>pela licitante</w:t>
      </w:r>
      <w:r>
        <w:rPr>
          <w:rFonts w:cs="Arial" w:ascii="Arial" w:hAnsi="Arial"/>
          <w:sz w:val="22"/>
          <w:szCs w:val="22"/>
        </w:rPr>
        <w:t xml:space="preserve"> de ter executado, a qualquer tempo, serviços/obras compatíveis com o objeto desta licitação, através de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w:t>
      </w:r>
      <w:r>
        <w:rPr>
          <w:rFonts w:cs="Arial" w:ascii="Arial" w:hAnsi="Arial"/>
          <w:b/>
          <w:sz w:val="22"/>
          <w:szCs w:val="22"/>
          <w:u w:val="single"/>
        </w:rPr>
        <w:t>em nome da própria licitante</w:t>
      </w:r>
      <w:r>
        <w:rPr>
          <w:rFonts w:cs="Arial" w:ascii="Arial" w:hAnsi="Arial"/>
          <w:sz w:val="22"/>
          <w:szCs w:val="22"/>
        </w:rPr>
        <w:t xml:space="preserve">, registrados(as) no conselho da categoria (CREA ou CAU) e que comprovem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pPr>
      <w:r>
        <w:rPr>
          <w:rFonts w:cs="Arial" w:ascii="Arial" w:hAnsi="Arial"/>
          <w:sz w:val="22"/>
          <w:szCs w:val="22"/>
        </w:rPr>
        <w:t xml:space="preserve">Comprovação complementar pelos(s) responsáveis técnicos indicados no item 7.2, caso o mesmo seja diferente do apresentado no item 7.4, que, na data da licitação possui em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registrados(as) no conselho da categoria e que comprovem também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0"/>
          <w:numId w:val="0"/>
        </w:numPr>
        <w:tabs>
          <w:tab w:val="left" w:pos="851" w:leader="none"/>
        </w:tabs>
        <w:suppressAutoHyphens w:val="false"/>
        <w:overflowPunct w:val="true"/>
        <w:bidi w:val="0"/>
        <w:spacing w:lineRule="auto" w:line="276" w:before="0" w:after="120"/>
        <w:ind w:left="1567" w:right="0" w:hanging="0"/>
        <w:jc w:val="both"/>
        <w:textAlignment w:val="auto"/>
        <w:rPr>
          <w:rFonts w:ascii="Arial" w:hAnsi="Arial" w:cs="Arial"/>
          <w:sz w:val="22"/>
          <w:szCs w:val="22"/>
        </w:rPr>
      </w:pPr>
      <w:r>
        <w:rPr>
          <w:rFonts w:cs="Arial" w:ascii="Arial" w:hAnsi="Arial"/>
          <w:sz w:val="22"/>
          <w:szCs w:val="22"/>
        </w:rPr>
      </w:r>
    </w:p>
    <w:tbl>
      <w:tblPr>
        <w:tblW w:w="8509" w:type="dxa"/>
        <w:jc w:val="left"/>
        <w:tblInd w:w="3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5672"/>
        <w:gridCol w:w="2836"/>
      </w:tblGrid>
      <w:tr>
        <w:trPr>
          <w:tblHeader w:val="true"/>
          <w:trHeight w:val="624" w:hRule="atLeast"/>
          <w:cantSplit w:val="true"/>
        </w:trPr>
        <w:tc>
          <w:tcPr>
            <w:tcW w:w="850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bCs/>
                <w:sz w:val="22"/>
                <w:szCs w:val="22"/>
              </w:rPr>
              <w:t>ESPECIFICAÇÃO DOS SERVIÇO DE RELEVÂNCIA TÉCNICA</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Execução de Reforma</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color w:val="00000A"/>
              </w:rPr>
            </w:pPr>
            <w:r>
              <w:rPr>
                <w:rFonts w:ascii="Arial" w:hAnsi="Arial"/>
                <w:b/>
                <w:bCs/>
                <w:color w:val="00000A"/>
                <w:sz w:val="22"/>
                <w:szCs w:val="22"/>
              </w:rPr>
              <w:t>267 m²</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Cobertura em fibrocimento</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color w:val="00000A"/>
              </w:rPr>
            </w:pPr>
            <w:r>
              <w:rPr>
                <w:rFonts w:ascii="Arial" w:hAnsi="Arial"/>
                <w:b/>
                <w:bCs/>
                <w:color w:val="00000A"/>
                <w:sz w:val="22"/>
                <w:szCs w:val="22"/>
              </w:rPr>
              <w:t>290 m²</w:t>
            </w:r>
          </w:p>
        </w:tc>
      </w:tr>
      <w:tr>
        <w:trPr>
          <w:trHeight w:val="454" w:hRule="atLeast"/>
          <w:cantSplit w:val="true"/>
        </w:trPr>
        <w:tc>
          <w:tcPr>
            <w:tcW w:w="56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color w:val="00000A"/>
              </w:rPr>
            </w:pPr>
            <w:r>
              <w:rPr>
                <w:rFonts w:cs="Arial" w:ascii="Arial" w:hAnsi="Arial"/>
                <w:b/>
                <w:bCs/>
                <w:color w:val="00000A"/>
                <w:sz w:val="22"/>
                <w:szCs w:val="22"/>
              </w:rPr>
              <w:t>Pintura</w:t>
            </w:r>
          </w:p>
        </w:tc>
        <w:tc>
          <w:tcPr>
            <w:tcW w:w="2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color w:val="00000A"/>
              </w:rPr>
            </w:pPr>
            <w:r>
              <w:rPr>
                <w:rFonts w:ascii="Arial" w:hAnsi="Arial"/>
                <w:b/>
                <w:bCs/>
                <w:color w:val="00000A"/>
                <w:sz w:val="22"/>
                <w:szCs w:val="22"/>
              </w:rPr>
              <w:t>880 m²</w:t>
            </w:r>
          </w:p>
        </w:tc>
      </w:tr>
    </w:tbl>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Será permitida a apresentação de certidão(ões) e atestado(s) proveniente(s) de contratos, para atendimento das condições do quadro acima.</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 xml:space="preserve">7.6.1.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7.6.2. Apresentar somente o(s) atestado(s) e certidão(ões) necessário(s) e suficiente(s) para a comprovação do exigido.</w:t>
      </w:r>
    </w:p>
    <w:p>
      <w:pPr>
        <w:pStyle w:val="Normal"/>
        <w:widowControl w:val="false"/>
        <w:numPr>
          <w:ilvl w:val="1"/>
          <w:numId w:val="1"/>
        </w:numPr>
        <w:tabs>
          <w:tab w:val="left" w:pos="851" w:leader="none"/>
        </w:tabs>
        <w:suppressAutoHyphens w:val="true"/>
        <w:bidi w:val="0"/>
        <w:spacing w:lineRule="auto" w:line="276" w:before="0" w:after="120"/>
        <w:ind w:left="0" w:right="0" w:hanging="0"/>
        <w:jc w:val="both"/>
        <w:rPr/>
      </w:pPr>
      <w:r>
        <w:rPr>
          <w:rFonts w:cs="Arial" w:ascii="Arial" w:hAnsi="Arial"/>
          <w:sz w:val="22"/>
          <w:szCs w:val="22"/>
        </w:rPr>
        <w:t>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Serviços executados.</w:t>
      </w:r>
    </w:p>
    <w:p>
      <w:pPr>
        <w:pStyle w:val="Normal"/>
        <w:tabs>
          <w:tab w:val="left" w:pos="851" w:leader="none"/>
        </w:tabs>
        <w:spacing w:lineRule="auto" w:line="276" w:before="0" w:after="120"/>
        <w:jc w:val="both"/>
        <w:rPr/>
      </w:pPr>
      <w:r>
        <w:rPr>
          <w:rFonts w:cs="Arial" w:ascii="Arial" w:hAnsi="Arial"/>
          <w:sz w:val="22"/>
          <w:szCs w:val="22"/>
        </w:rPr>
        <w:t xml:space="preserve">7.8.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pPr>
      <w:r>
        <w:rPr>
          <w:rFonts w:cs="Arial" w:ascii="Arial" w:hAnsi="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pPr>
      <w:r>
        <w:rPr>
          <w:rFonts w:eastAsia="Calibri" w:cs="Arial" w:ascii="Arial" w:hAnsi="Arial"/>
          <w:sz w:val="22"/>
          <w:szCs w:val="22"/>
        </w:rPr>
        <w:t>8.5. Não será admitida pelos licitantes/contratado, a alegação de falta de peças técnicas e/ou desconhecimento do processo/serviços.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 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32" w:type="dxa"/>
        <w:jc w:val="left"/>
        <w:tblInd w:w="-12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6804"/>
        <w:gridCol w:w="2427"/>
      </w:tblGrid>
      <w:tr>
        <w:trPr>
          <w:trHeight w:val="525"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2"/>
                <w:szCs w:val="22"/>
              </w:rPr>
            </w:pPr>
            <w:r>
              <w:rPr>
                <w:rFonts w:cs="Calibri" w:ascii="Arial" w:hAnsi="Arial"/>
                <w:b/>
                <w:color w:val="000000"/>
                <w:sz w:val="22"/>
                <w:szCs w:val="22"/>
              </w:rPr>
              <w:t>REFORMA DO CEI ANTONIETA MOREIRA DOS SANTOS</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bookmarkStart w:id="8" w:name="__DdeLink__516_1200582971"/>
            <w:r>
              <w:rPr>
                <w:rFonts w:cs="Arial" w:ascii="Arial" w:hAnsi="Arial"/>
                <w:b/>
                <w:bCs/>
                <w:color w:val="auto"/>
                <w:sz w:val="22"/>
                <w:szCs w:val="22"/>
              </w:rPr>
              <w:t>4</w:t>
            </w:r>
            <w:bookmarkEnd w:id="8"/>
            <w:r>
              <w:rPr>
                <w:rFonts w:cs="Arial" w:ascii="Arial" w:hAnsi="Arial"/>
                <w:b/>
                <w:bCs/>
                <w:color w:val="auto"/>
                <w:sz w:val="22"/>
                <w:szCs w:val="22"/>
              </w:rPr>
              <w:t>0</w:t>
            </w:r>
            <w:r>
              <w:rPr>
                <w:rFonts w:cs="Arial" w:ascii="Arial" w:hAnsi="Arial"/>
                <w:b/>
                <w:bCs/>
                <w:color w:val="auto"/>
                <w:sz w:val="22"/>
                <w:szCs w:val="22"/>
              </w:rPr>
              <w:t>5</w:t>
            </w:r>
            <w:r>
              <w:rPr>
                <w:rFonts w:cs="Arial" w:ascii="Arial" w:hAnsi="Arial"/>
                <w:b/>
                <w:bCs/>
                <w:color w:val="auto"/>
                <w:sz w:val="22"/>
                <w:szCs w:val="22"/>
              </w:rPr>
              <w:t>.</w:t>
            </w:r>
            <w:r>
              <w:rPr>
                <w:rFonts w:cs="Arial" w:ascii="Arial" w:hAnsi="Arial"/>
                <w:b/>
                <w:bCs/>
                <w:color w:val="auto"/>
                <w:sz w:val="22"/>
                <w:szCs w:val="22"/>
              </w:rPr>
              <w:t>616</w:t>
            </w:r>
            <w:r>
              <w:rPr>
                <w:rFonts w:cs="Arial" w:ascii="Arial" w:hAnsi="Arial"/>
                <w:b/>
                <w:bCs/>
                <w:color w:val="auto"/>
                <w:sz w:val="22"/>
                <w:szCs w:val="22"/>
              </w:rPr>
              <w:t>,</w:t>
            </w:r>
            <w:r>
              <w:rPr>
                <w:rFonts w:cs="Arial" w:ascii="Arial" w:hAnsi="Arial"/>
                <w:b/>
                <w:bCs/>
                <w:color w:val="auto"/>
                <w:sz w:val="22"/>
                <w:szCs w:val="22"/>
              </w:rPr>
              <w:t>65</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
    </w:p>
    <w:p>
      <w:pPr>
        <w:pStyle w:val="Normal"/>
        <w:tabs>
          <w:tab w:val="left" w:pos="851" w:leader="none"/>
        </w:tabs>
        <w:spacing w:lineRule="auto" w:line="276" w:before="0" w:after="120"/>
        <w:jc w:val="both"/>
        <w:rPr>
          <w:rFonts w:ascii="Arial" w:hAnsi="Arial" w:cs="Arial"/>
          <w:sz w:val="22"/>
          <w:szCs w:val="22"/>
        </w:rPr>
      </w:pPr>
      <w:r>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120 (cento e vinte</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 xml:space="preserve">180 </w:t>
      </w:r>
      <w:r>
        <w:rPr>
          <w:rFonts w:cs="Arial" w:ascii="Arial" w:hAnsi="Arial"/>
          <w:b/>
          <w:sz w:val="22"/>
          <w:szCs w:val="22"/>
        </w:rPr>
        <w:t>(cento e oitenta)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Em caso de atraso na execução da obra, sem comprovação de condições adversas ou casos fortuitos, a empresa ficará sujeita às sanções preceituadas da Lei 8.666/93, bem como a aplicação das penalidades previstas no contrato.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9" w:name="__DdeLink__518_576160097"/>
      <w:bookmarkEnd w:id="9"/>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10" w:name="_Ref128369793"/>
      <w:bookmarkEnd w:id="10"/>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pP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11" w:name="_Toc176847504"/>
      <w:bookmarkStart w:id="12" w:name="_Toc176842631"/>
      <w:bookmarkStart w:id="13" w:name="_Toc176842561"/>
      <w:bookmarkStart w:id="14" w:name="_Toc176842519"/>
      <w:r>
        <w:rPr>
          <w:rFonts w:cs="Arial"/>
          <w:bCs w:val="false"/>
          <w:sz w:val="22"/>
          <w:szCs w:val="22"/>
        </w:rPr>
        <w:t>15. DAS CONDIÇÕES DE SEGURANÇA DO TRABALHO</w:t>
      </w:r>
      <w:bookmarkEnd w:id="11"/>
      <w:bookmarkEnd w:id="12"/>
      <w:bookmarkEnd w:id="13"/>
      <w:bookmarkEnd w:id="14"/>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5" w:name="_Toc176847505"/>
      <w:bookmarkStart w:id="16" w:name="_Toc176842632"/>
      <w:bookmarkStart w:id="17" w:name="_Toc176842562"/>
      <w:bookmarkStart w:id="18" w:name="_Toc176842520"/>
      <w:r>
        <w:rPr>
          <w:rFonts w:cs="Arial"/>
          <w:bCs w:val="false"/>
          <w:sz w:val="22"/>
          <w:szCs w:val="22"/>
        </w:rPr>
        <w:t>DA PARALISAÇÃO DOS SERVIÇOS</w:t>
      </w:r>
      <w:bookmarkEnd w:id="15"/>
      <w:bookmarkEnd w:id="16"/>
      <w:bookmarkEnd w:id="17"/>
      <w:bookmarkEnd w:id="18"/>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9" w:name="_Toc176847506"/>
      <w:bookmarkStart w:id="20" w:name="_Toc176842633"/>
      <w:bookmarkStart w:id="21" w:name="_Toc176842563"/>
      <w:bookmarkStart w:id="22" w:name="_Toc176842521"/>
      <w:r>
        <w:rPr>
          <w:rFonts w:cs="Arial"/>
          <w:bCs w:val="false"/>
          <w:sz w:val="22"/>
          <w:szCs w:val="22"/>
        </w:rPr>
        <w:t>DO RECEBIMENTO DA OBRA, SERVIÇOS E MATERIAIS</w:t>
      </w:r>
      <w:bookmarkEnd w:id="19"/>
      <w:bookmarkEnd w:id="20"/>
      <w:bookmarkEnd w:id="21"/>
      <w:bookmarkEnd w:id="22"/>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keepNext/>
        <w:widowControl/>
        <w:numPr>
          <w:ilvl w:val="0"/>
          <w:numId w:val="0"/>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bidi w:val="0"/>
        <w:spacing w:lineRule="auto" w:line="276" w:before="0" w:after="0"/>
        <w:ind w:left="0" w:right="0" w:hanging="0"/>
        <w:jc w:val="both"/>
        <w:outlineLvl w:val="0"/>
        <w:rPr/>
      </w:pPr>
      <w:r>
        <w:rPr>
          <w:rFonts w:cs="Arial"/>
          <w:bCs w:val="false"/>
          <w:sz w:val="22"/>
          <w:szCs w:val="22"/>
        </w:rPr>
        <w:t>18. 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Itajaí, 28 de março de 2019.</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bookmarkStart w:id="23" w:name="_GoBack"/>
      <w:bookmarkStart w:id="24" w:name="_GoBack"/>
      <w:bookmarkEnd w:id="24"/>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228"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pPr>
            <w:r>
              <w:rPr>
                <w:rFonts w:eastAsia="Calibri" w:cs="Arial" w:ascii="Arial" w:hAnsi="Arial"/>
              </w:rPr>
              <w:t>Arquiteto e Urbanista</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312" w:bottom="124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Helvetica Neue">
    <w:altName w:val="Helvetica"/>
    <w:charset w:val="00"/>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3">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5">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255" y="0"/>
              <wp:lineTo x="-1255" y="19567"/>
              <wp:lineTo x="21600" y="19567"/>
              <wp:lineTo x="21600" y="0"/>
              <wp:lineTo x="-1255"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rFonts w:ascii="Arial" w:hAnsi="Arial"/>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ascii="Arial" w:hAnsi="Arial" w:cs="Symbol"/>
      <w:sz w:val="22"/>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Arial" w:hAnsi="Arial"/>
      <w:b w:val="false"/>
      <w:sz w:val="22"/>
    </w:rPr>
  </w:style>
  <w:style w:type="character" w:styleId="ListLabel241">
    <w:name w:val="ListLabel 241"/>
    <w:qFormat/>
    <w:rPr>
      <w:b w:val="false"/>
      <w:i w:val="false"/>
      <w:sz w:val="22"/>
      <w:szCs w:val="24"/>
    </w:rPr>
  </w:style>
  <w:style w:type="character" w:styleId="ListLabel242">
    <w:name w:val="ListLabel 242"/>
    <w:qFormat/>
    <w:rPr>
      <w:rFonts w:ascii="Arial" w:hAnsi="Arial"/>
      <w:b w:val="false"/>
      <w:i w:val="false"/>
      <w:color w:val="00000A"/>
      <w:sz w:val="22"/>
      <w:szCs w:val="24"/>
    </w:rPr>
  </w:style>
  <w:style w:type="character" w:styleId="ListLabel243">
    <w:name w:val="ListLabel 243"/>
    <w:qFormat/>
    <w:rPr>
      <w:rFonts w:ascii="Arial" w:hAnsi="Arial"/>
      <w:b w:val="false"/>
      <w:i w:val="false"/>
      <w:color w:val="00000A"/>
      <w:sz w:val="22"/>
    </w:rPr>
  </w:style>
  <w:style w:type="character" w:styleId="ListLabel244">
    <w:name w:val="ListLabel 244"/>
    <w:qFormat/>
    <w:rPr>
      <w:b w:val="false"/>
    </w:rPr>
  </w:style>
  <w:style w:type="character" w:styleId="ListLabel245">
    <w:name w:val="ListLabel 245"/>
    <w:qFormat/>
    <w:rPr>
      <w:b w:val="false"/>
      <w:sz w:val="24"/>
      <w:szCs w:val="24"/>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ascii="Arial" w:hAnsi="Arial" w:cs="Symbol"/>
      <w:sz w:val="22"/>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ascii="Arial" w:hAnsi="Arial"/>
      <w:b w:val="false"/>
      <w:sz w:val="22"/>
    </w:rPr>
  </w:style>
  <w:style w:type="character" w:styleId="ListLabel256">
    <w:name w:val="ListLabel 256"/>
    <w:qFormat/>
    <w:rPr>
      <w:b w:val="false"/>
      <w:i w:val="false"/>
      <w:sz w:val="22"/>
      <w:szCs w:val="24"/>
    </w:rPr>
  </w:style>
  <w:style w:type="character" w:styleId="ListLabel257">
    <w:name w:val="ListLabel 257"/>
    <w:qFormat/>
    <w:rPr>
      <w:rFonts w:ascii="Arial" w:hAnsi="Arial"/>
      <w:b w:val="false"/>
      <w:i w:val="false"/>
      <w:color w:val="00000A"/>
      <w:sz w:val="22"/>
      <w:szCs w:val="24"/>
    </w:rPr>
  </w:style>
  <w:style w:type="character" w:styleId="ListLabel258">
    <w:name w:val="ListLabel 258"/>
    <w:qFormat/>
    <w:rPr>
      <w:rFonts w:ascii="Arial" w:hAnsi="Arial"/>
      <w:b w:val="false"/>
      <w:i w:val="false"/>
      <w:color w:val="00000A"/>
      <w:sz w:val="22"/>
    </w:rPr>
  </w:style>
  <w:style w:type="character" w:styleId="ListLabel259">
    <w:name w:val="ListLabel 259"/>
    <w:qFormat/>
    <w:rPr>
      <w:b w:val="false"/>
    </w:rPr>
  </w:style>
  <w:style w:type="character" w:styleId="ListLabel260">
    <w:name w:val="ListLabel 260"/>
    <w:qFormat/>
    <w:rPr>
      <w:b w:val="false"/>
      <w:sz w:val="24"/>
      <w:szCs w:val="24"/>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ascii="Arial" w:hAnsi="Arial" w:cs="Symbol"/>
      <w:sz w:val="22"/>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Symbol"/>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ascii="Arial" w:hAnsi="Arial"/>
      <w:b w:val="false"/>
      <w:sz w:val="22"/>
    </w:rPr>
  </w:style>
  <w:style w:type="character" w:styleId="ListLabel271">
    <w:name w:val="ListLabel 271"/>
    <w:qFormat/>
    <w:rPr>
      <w:b w:val="false"/>
      <w:i w:val="false"/>
      <w:sz w:val="22"/>
      <w:szCs w:val="24"/>
    </w:rPr>
  </w:style>
  <w:style w:type="character" w:styleId="ListLabel272">
    <w:name w:val="ListLabel 272"/>
    <w:qFormat/>
    <w:rPr>
      <w:rFonts w:ascii="Arial" w:hAnsi="Arial"/>
      <w:b w:val="false"/>
      <w:i w:val="false"/>
      <w:color w:val="00000A"/>
      <w:sz w:val="22"/>
      <w:szCs w:val="24"/>
    </w:rPr>
  </w:style>
  <w:style w:type="character" w:styleId="ListLabel273">
    <w:name w:val="ListLabel 273"/>
    <w:qFormat/>
    <w:rPr>
      <w:rFonts w:ascii="Arial" w:hAnsi="Arial"/>
      <w:b w:val="false"/>
      <w:i w:val="false"/>
      <w:color w:val="00000A"/>
      <w:sz w:val="22"/>
    </w:rPr>
  </w:style>
  <w:style w:type="character" w:styleId="ListLabel274">
    <w:name w:val="ListLabel 274"/>
    <w:qFormat/>
    <w:rPr>
      <w:b w:val="false"/>
    </w:rPr>
  </w:style>
  <w:style w:type="character" w:styleId="ListLabel275">
    <w:name w:val="ListLabel 275"/>
    <w:qFormat/>
    <w:rPr>
      <w:b w:val="false"/>
      <w:sz w:val="24"/>
      <w:szCs w:val="24"/>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ascii="Arial" w:hAnsi="Arial"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ascii="Arial" w:hAnsi="Arial"/>
      <w:b w:val="false"/>
      <w:sz w:val="22"/>
    </w:rPr>
  </w:style>
  <w:style w:type="character" w:styleId="ListLabel286">
    <w:name w:val="ListLabel 286"/>
    <w:qFormat/>
    <w:rPr>
      <w:b w:val="false"/>
      <w:i w:val="false"/>
      <w:sz w:val="22"/>
      <w:szCs w:val="24"/>
    </w:rPr>
  </w:style>
  <w:style w:type="character" w:styleId="ListLabel287">
    <w:name w:val="ListLabel 287"/>
    <w:qFormat/>
    <w:rPr>
      <w:rFonts w:ascii="Arial" w:hAnsi="Arial"/>
      <w:b w:val="false"/>
      <w:i w:val="false"/>
      <w:color w:val="00000A"/>
      <w:sz w:val="22"/>
      <w:szCs w:val="24"/>
    </w:rPr>
  </w:style>
  <w:style w:type="character" w:styleId="ListLabel288">
    <w:name w:val="ListLabel 288"/>
    <w:qFormat/>
    <w:rPr>
      <w:rFonts w:ascii="Arial" w:hAnsi="Arial"/>
      <w:b w:val="false"/>
      <w:i w:val="false"/>
      <w:color w:val="00000A"/>
      <w:sz w:val="22"/>
    </w:rPr>
  </w:style>
  <w:style w:type="character" w:styleId="ListLabel289">
    <w:name w:val="ListLabel 289"/>
    <w:qFormat/>
    <w:rPr>
      <w:b w:val="false"/>
    </w:rPr>
  </w:style>
  <w:style w:type="character" w:styleId="ListLabel290">
    <w:name w:val="ListLabel 290"/>
    <w:qFormat/>
    <w:rPr>
      <w:b w:val="false"/>
      <w:sz w:val="24"/>
      <w:szCs w:val="24"/>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ascii="Arial" w:hAnsi="Arial" w:cs="Symbol"/>
      <w:sz w:val="22"/>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ascii="Arial" w:hAnsi="Arial"/>
      <w:b w:val="false"/>
      <w:sz w:val="22"/>
    </w:rPr>
  </w:style>
  <w:style w:type="character" w:styleId="ListLabel301">
    <w:name w:val="ListLabel 301"/>
    <w:qFormat/>
    <w:rPr>
      <w:b w:val="false"/>
      <w:i w:val="false"/>
      <w:sz w:val="22"/>
      <w:szCs w:val="24"/>
    </w:rPr>
  </w:style>
  <w:style w:type="character" w:styleId="ListLabel302">
    <w:name w:val="ListLabel 302"/>
    <w:qFormat/>
    <w:rPr>
      <w:rFonts w:ascii="Arial" w:hAnsi="Arial"/>
      <w:b w:val="false"/>
      <w:i w:val="false"/>
      <w:color w:val="00000A"/>
      <w:sz w:val="22"/>
      <w:szCs w:val="24"/>
    </w:rPr>
  </w:style>
  <w:style w:type="character" w:styleId="ListLabel303">
    <w:name w:val="ListLabel 303"/>
    <w:qFormat/>
    <w:rPr>
      <w:rFonts w:ascii="Arial" w:hAnsi="Arial"/>
      <w:b w:val="false"/>
      <w:i w:val="false"/>
      <w:color w:val="00000A"/>
      <w:sz w:val="22"/>
    </w:rPr>
  </w:style>
  <w:style w:type="character" w:styleId="ListLabel304">
    <w:name w:val="ListLabel 304"/>
    <w:qFormat/>
    <w:rPr>
      <w:b w:val="false"/>
    </w:rPr>
  </w:style>
  <w:style w:type="character" w:styleId="ListLabel305">
    <w:name w:val="ListLabel 305"/>
    <w:qFormat/>
    <w:rPr>
      <w:b w:val="false"/>
      <w:sz w:val="24"/>
      <w:szCs w:val="24"/>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ascii="Arial" w:hAnsi="Arial" w:cs="Symbol"/>
      <w:sz w:val="22"/>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Symbol"/>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ascii="Arial" w:hAnsi="Arial"/>
      <w:b w:val="false"/>
      <w:sz w:val="22"/>
    </w:rPr>
  </w:style>
  <w:style w:type="character" w:styleId="Smbolosdenumerao">
    <w:name w:val="Símbolos de numeração"/>
    <w:qFormat/>
    <w:rPr/>
  </w:style>
  <w:style w:type="character" w:styleId="ListLabel316">
    <w:name w:val="ListLabel 316"/>
    <w:qFormat/>
    <w:rPr>
      <w:b w:val="false"/>
      <w:i w:val="false"/>
      <w:sz w:val="22"/>
      <w:szCs w:val="24"/>
    </w:rPr>
  </w:style>
  <w:style w:type="character" w:styleId="ListLabel317">
    <w:name w:val="ListLabel 317"/>
    <w:qFormat/>
    <w:rPr>
      <w:rFonts w:ascii="Arial" w:hAnsi="Arial"/>
      <w:b w:val="false"/>
      <w:i w:val="false"/>
      <w:color w:val="00000A"/>
      <w:sz w:val="22"/>
      <w:szCs w:val="24"/>
    </w:rPr>
  </w:style>
  <w:style w:type="character" w:styleId="ListLabel318">
    <w:name w:val="ListLabel 318"/>
    <w:qFormat/>
    <w:rPr>
      <w:rFonts w:ascii="Arial" w:hAnsi="Arial"/>
      <w:b w:val="false"/>
      <w:i w:val="false"/>
      <w:color w:val="00000A"/>
      <w:sz w:val="22"/>
    </w:rPr>
  </w:style>
  <w:style w:type="character" w:styleId="ListLabel319">
    <w:name w:val="ListLabel 319"/>
    <w:qFormat/>
    <w:rPr>
      <w:b w:val="false"/>
    </w:rPr>
  </w:style>
  <w:style w:type="character" w:styleId="ListLabel320">
    <w:name w:val="ListLabel 320"/>
    <w:qFormat/>
    <w:rPr>
      <w:b w:val="false"/>
      <w:sz w:val="24"/>
      <w:szCs w:val="24"/>
    </w:rPr>
  </w:style>
  <w:style w:type="character" w:styleId="ListLabel321">
    <w:name w:val="ListLabel 321"/>
    <w:qFormat/>
    <w:rPr>
      <w:rFonts w:cs="Symbol"/>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cs="Symbol"/>
      <w:sz w:val="22"/>
    </w:rPr>
  </w:style>
  <w:style w:type="character" w:styleId="ListLabel325">
    <w:name w:val="ListLabel 325"/>
    <w:qFormat/>
    <w:rPr>
      <w:rFonts w:cs="Courier New"/>
    </w:rPr>
  </w:style>
  <w:style w:type="character" w:styleId="ListLabel326">
    <w:name w:val="ListLabel 326"/>
    <w:qFormat/>
    <w:rPr>
      <w:rFonts w:cs="Wingdings"/>
    </w:rPr>
  </w:style>
  <w:style w:type="character" w:styleId="ListLabel327">
    <w:name w:val="ListLabel 327"/>
    <w:qFormat/>
    <w:rPr>
      <w:rFonts w:cs="Symbol"/>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ascii="Arial" w:hAnsi="Arial"/>
      <w:b w:val="false"/>
      <w:sz w:val="22"/>
    </w:rPr>
  </w:style>
  <w:style w:type="character" w:styleId="ListLabel331">
    <w:name w:val="ListLabel 331"/>
    <w:qFormat/>
    <w:rPr>
      <w:b w:val="false"/>
      <w:i w:val="false"/>
      <w:sz w:val="22"/>
      <w:szCs w:val="24"/>
    </w:rPr>
  </w:style>
  <w:style w:type="character" w:styleId="ListLabel332">
    <w:name w:val="ListLabel 332"/>
    <w:qFormat/>
    <w:rPr>
      <w:rFonts w:ascii="Arial" w:hAnsi="Arial"/>
      <w:b w:val="false"/>
      <w:i w:val="false"/>
      <w:color w:val="00000A"/>
      <w:sz w:val="22"/>
      <w:szCs w:val="24"/>
    </w:rPr>
  </w:style>
  <w:style w:type="character" w:styleId="ListLabel333">
    <w:name w:val="ListLabel 333"/>
    <w:qFormat/>
    <w:rPr>
      <w:rFonts w:ascii="Arial" w:hAnsi="Arial"/>
      <w:b w:val="false"/>
      <w:i w:val="false"/>
      <w:color w:val="00000A"/>
      <w:sz w:val="22"/>
    </w:rPr>
  </w:style>
  <w:style w:type="character" w:styleId="ListLabel334">
    <w:name w:val="ListLabel 334"/>
    <w:qFormat/>
    <w:rPr>
      <w:b w:val="false"/>
    </w:rPr>
  </w:style>
  <w:style w:type="character" w:styleId="ListLabel335">
    <w:name w:val="ListLabel 335"/>
    <w:qFormat/>
    <w:rPr>
      <w:b w:val="false"/>
      <w:sz w:val="24"/>
      <w:szCs w:val="24"/>
    </w:rPr>
  </w:style>
  <w:style w:type="character" w:styleId="ListLabel336">
    <w:name w:val="ListLabel 336"/>
    <w:qFormat/>
    <w:rPr>
      <w:rFonts w:cs="Symbol"/>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Symbol"/>
      <w:sz w:val="22"/>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ascii="Arial" w:hAnsi="Arial"/>
      <w:b w:val="false"/>
      <w:sz w:val="22"/>
    </w:rPr>
  </w:style>
  <w:style w:type="character" w:styleId="ListLabel346">
    <w:name w:val="ListLabel 346"/>
    <w:qFormat/>
    <w:rPr>
      <w:b w:val="false"/>
      <w:i w:val="false"/>
      <w:sz w:val="22"/>
      <w:szCs w:val="24"/>
    </w:rPr>
  </w:style>
  <w:style w:type="character" w:styleId="ListLabel347">
    <w:name w:val="ListLabel 347"/>
    <w:qFormat/>
    <w:rPr>
      <w:rFonts w:ascii="Arial" w:hAnsi="Arial"/>
      <w:b w:val="false"/>
      <w:i w:val="false"/>
      <w:color w:val="00000A"/>
      <w:sz w:val="22"/>
      <w:szCs w:val="24"/>
    </w:rPr>
  </w:style>
  <w:style w:type="character" w:styleId="ListLabel348">
    <w:name w:val="ListLabel 348"/>
    <w:qFormat/>
    <w:rPr>
      <w:rFonts w:ascii="Arial" w:hAnsi="Arial"/>
      <w:b w:val="false"/>
      <w:i w:val="false"/>
      <w:color w:val="00000A"/>
      <w:sz w:val="22"/>
    </w:rPr>
  </w:style>
  <w:style w:type="character" w:styleId="ListLabel349">
    <w:name w:val="ListLabel 349"/>
    <w:qFormat/>
    <w:rPr>
      <w:b w:val="false"/>
    </w:rPr>
  </w:style>
  <w:style w:type="character" w:styleId="ListLabel350">
    <w:name w:val="ListLabel 350"/>
    <w:qFormat/>
    <w:rPr>
      <w:b w:val="false"/>
      <w:sz w:val="24"/>
      <w:szCs w:val="24"/>
    </w:rPr>
  </w:style>
  <w:style w:type="character" w:styleId="ListLabel351">
    <w:name w:val="ListLabel 351"/>
    <w:qFormat/>
    <w:rPr>
      <w:rFonts w:cs="Symbol"/>
    </w:rPr>
  </w:style>
  <w:style w:type="character" w:styleId="ListLabel352">
    <w:name w:val="ListLabel 352"/>
    <w:qFormat/>
    <w:rPr>
      <w:rFonts w:cs="Courier New"/>
    </w:rPr>
  </w:style>
  <w:style w:type="character" w:styleId="ListLabel353">
    <w:name w:val="ListLabel 353"/>
    <w:qFormat/>
    <w:rPr>
      <w:rFonts w:cs="Wingdings"/>
    </w:rPr>
  </w:style>
  <w:style w:type="character" w:styleId="ListLabel354">
    <w:name w:val="ListLabel 354"/>
    <w:qFormat/>
    <w:rPr>
      <w:rFonts w:cs="Symbol"/>
      <w:sz w:val="22"/>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cs="Symbol"/>
    </w:rPr>
  </w:style>
  <w:style w:type="character" w:styleId="ListLabel358">
    <w:name w:val="ListLabel 358"/>
    <w:qFormat/>
    <w:rPr>
      <w:rFonts w:cs="Courier New"/>
    </w:rPr>
  </w:style>
  <w:style w:type="character" w:styleId="ListLabel359">
    <w:name w:val="ListLabel 359"/>
    <w:qFormat/>
    <w:rPr>
      <w:rFonts w:cs="Wingdings"/>
    </w:rPr>
  </w:style>
  <w:style w:type="character" w:styleId="ListLabel360">
    <w:name w:val="ListLabel 360"/>
    <w:qFormat/>
    <w:rPr>
      <w:rFonts w:ascii="Arial" w:hAnsi="Arial"/>
      <w:b w:val="false"/>
      <w:sz w:val="22"/>
    </w:rPr>
  </w:style>
  <w:style w:type="character" w:styleId="ListLabel361">
    <w:name w:val="ListLabel 361"/>
    <w:qFormat/>
    <w:rPr>
      <w:b w:val="false"/>
      <w:i w:val="false"/>
      <w:sz w:val="22"/>
      <w:szCs w:val="24"/>
    </w:rPr>
  </w:style>
  <w:style w:type="character" w:styleId="ListLabel362">
    <w:name w:val="ListLabel 362"/>
    <w:qFormat/>
    <w:rPr>
      <w:rFonts w:ascii="Arial" w:hAnsi="Arial"/>
      <w:b w:val="false"/>
      <w:i w:val="false"/>
      <w:color w:val="00000A"/>
      <w:sz w:val="22"/>
      <w:szCs w:val="24"/>
    </w:rPr>
  </w:style>
  <w:style w:type="character" w:styleId="ListLabel363">
    <w:name w:val="ListLabel 363"/>
    <w:qFormat/>
    <w:rPr>
      <w:rFonts w:ascii="Arial" w:hAnsi="Arial"/>
      <w:b w:val="false"/>
      <w:i w:val="false"/>
      <w:color w:val="00000A"/>
      <w:sz w:val="22"/>
    </w:rPr>
  </w:style>
  <w:style w:type="character" w:styleId="ListLabel364">
    <w:name w:val="ListLabel 364"/>
    <w:qFormat/>
    <w:rPr>
      <w:b w:val="false"/>
    </w:rPr>
  </w:style>
  <w:style w:type="character" w:styleId="ListLabel365">
    <w:name w:val="ListLabel 365"/>
    <w:qFormat/>
    <w:rPr>
      <w:b w:val="false"/>
      <w:sz w:val="24"/>
      <w:szCs w:val="24"/>
    </w:rPr>
  </w:style>
  <w:style w:type="character" w:styleId="ListLabel366">
    <w:name w:val="ListLabel 366"/>
    <w:qFormat/>
    <w:rPr>
      <w:rFonts w:cs="Symbol"/>
    </w:rPr>
  </w:style>
  <w:style w:type="character" w:styleId="ListLabel367">
    <w:name w:val="ListLabel 367"/>
    <w:qFormat/>
    <w:rPr>
      <w:rFonts w:cs="Courier New"/>
    </w:rPr>
  </w:style>
  <w:style w:type="character" w:styleId="ListLabel368">
    <w:name w:val="ListLabel 368"/>
    <w:qFormat/>
    <w:rPr>
      <w:rFonts w:cs="Wingdings"/>
    </w:rPr>
  </w:style>
  <w:style w:type="character" w:styleId="ListLabel369">
    <w:name w:val="ListLabel 369"/>
    <w:qFormat/>
    <w:rPr>
      <w:rFonts w:cs="Symbol"/>
      <w:sz w:val="22"/>
    </w:rPr>
  </w:style>
  <w:style w:type="character" w:styleId="ListLabel370">
    <w:name w:val="ListLabel 370"/>
    <w:qFormat/>
    <w:rPr>
      <w:rFonts w:cs="Courier New"/>
    </w:rPr>
  </w:style>
  <w:style w:type="character" w:styleId="ListLabel371">
    <w:name w:val="ListLabel 371"/>
    <w:qFormat/>
    <w:rPr>
      <w:rFonts w:cs="Wingdings"/>
    </w:rPr>
  </w:style>
  <w:style w:type="character" w:styleId="ListLabel372">
    <w:name w:val="ListLabel 372"/>
    <w:qFormat/>
    <w:rPr>
      <w:rFonts w:cs="Symbol"/>
    </w:rPr>
  </w:style>
  <w:style w:type="character" w:styleId="ListLabel373">
    <w:name w:val="ListLabel 373"/>
    <w:qFormat/>
    <w:rPr>
      <w:rFonts w:cs="Courier New"/>
    </w:rPr>
  </w:style>
  <w:style w:type="character" w:styleId="ListLabel374">
    <w:name w:val="ListLabel 374"/>
    <w:qFormat/>
    <w:rPr>
      <w:rFonts w:cs="Wingdings"/>
    </w:rPr>
  </w:style>
  <w:style w:type="character" w:styleId="ListLabel375">
    <w:name w:val="ListLabel 37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paragraph" w:styleId="Corpodetexto3">
    <w:name w:val="Corpo de texto 3"/>
    <w:basedOn w:val="Normal"/>
    <w:qFormat/>
    <w:pPr>
      <w:spacing w:before="0" w:after="120"/>
    </w:pPr>
    <w:rPr>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Application>LibreOffice/5.2.4.2$Windows_x86 LibreOffice_project/3d5603e1122f0f102b62521720ab13a38a4e0eb0</Application>
  <Pages>12</Pages>
  <Words>3892</Words>
  <Characters>22563</Characters>
  <CharactersWithSpaces>26302</CharactersWithSpaces>
  <Paragraphs>189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2019-04-01T14:14:48Z</cp:lastPrinted>
  <dcterms:modified xsi:type="dcterms:W3CDTF">2019-04-01T14:15:00Z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